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B6AD" w14:textId="65A6C564" w:rsidR="006F3A5C" w:rsidRPr="006E789A" w:rsidRDefault="006F3A5C">
      <w:pPr>
        <w:spacing w:line="259" w:lineRule="auto"/>
        <w:ind w:left="300" w:firstLine="0"/>
        <w:jc w:val="left"/>
        <w:rPr>
          <w:bCs/>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Pr="006E789A">
        <w:rPr>
          <w:bCs/>
        </w:rPr>
        <w:tab/>
        <w:t xml:space="preserve">        Eingang</w:t>
      </w:r>
    </w:p>
    <w:p w14:paraId="4FBBD0AD" w14:textId="2B3453D6" w:rsidR="006F3A5C" w:rsidRPr="006E789A" w:rsidRDefault="006F3A5C">
      <w:pPr>
        <w:spacing w:line="259" w:lineRule="auto"/>
        <w:ind w:left="300" w:firstLine="0"/>
        <w:jc w:val="left"/>
        <w:rPr>
          <w:bCs/>
        </w:rPr>
      </w:pPr>
      <w:r w:rsidRPr="006E789A">
        <w:rPr>
          <w:bCs/>
        </w:rPr>
        <w:tab/>
      </w:r>
      <w:r w:rsidRPr="006E789A">
        <w:rPr>
          <w:bCs/>
        </w:rPr>
        <w:tab/>
      </w:r>
      <w:r w:rsidRPr="006E789A">
        <w:rPr>
          <w:bCs/>
        </w:rPr>
        <w:tab/>
      </w:r>
      <w:r w:rsidRPr="006E789A">
        <w:rPr>
          <w:bCs/>
        </w:rPr>
        <w:tab/>
      </w:r>
      <w:r w:rsidRPr="006E789A">
        <w:rPr>
          <w:bCs/>
        </w:rPr>
        <w:tab/>
      </w:r>
      <w:r w:rsidRPr="006E789A">
        <w:rPr>
          <w:bCs/>
        </w:rPr>
        <w:tab/>
        <w:t xml:space="preserve">   </w:t>
      </w:r>
      <w:r w:rsidRPr="006E789A">
        <w:rPr>
          <w:bCs/>
        </w:rPr>
        <w:tab/>
      </w:r>
      <w:r w:rsidRPr="006E789A">
        <w:rPr>
          <w:bCs/>
        </w:rPr>
        <w:tab/>
      </w:r>
      <w:r w:rsidR="006E789A">
        <w:rPr>
          <w:bCs/>
        </w:rPr>
        <w:t xml:space="preserve"> </w:t>
      </w:r>
      <w:r w:rsidRPr="006E789A">
        <w:rPr>
          <w:bCs/>
        </w:rPr>
        <w:tab/>
      </w:r>
      <w:r w:rsidR="006E789A">
        <w:rPr>
          <w:bCs/>
        </w:rPr>
        <w:t xml:space="preserve">  </w:t>
      </w:r>
      <w:r w:rsidRPr="006E789A">
        <w:rPr>
          <w:bCs/>
        </w:rPr>
        <w:t>Bezirksamt Zuffenhausen</w:t>
      </w:r>
      <w:r w:rsidR="00660313" w:rsidRPr="006E789A">
        <w:rPr>
          <w:bCs/>
        </w:rPr>
        <w:t xml:space="preserve"> </w:t>
      </w:r>
    </w:p>
    <w:p w14:paraId="4AB8DF3C" w14:textId="77777777" w:rsidR="00660313" w:rsidRPr="006E789A" w:rsidRDefault="00660313">
      <w:pPr>
        <w:spacing w:line="259" w:lineRule="auto"/>
        <w:ind w:left="300" w:firstLine="0"/>
        <w:jc w:val="left"/>
        <w:rPr>
          <w:bCs/>
        </w:rPr>
      </w:pPr>
    </w:p>
    <w:p w14:paraId="2B45DF85" w14:textId="77777777" w:rsidR="006F3A5C" w:rsidRDefault="006F3A5C">
      <w:pPr>
        <w:spacing w:line="259" w:lineRule="auto"/>
        <w:ind w:left="300" w:firstLine="0"/>
        <w:jc w:val="left"/>
        <w:rPr>
          <w:rFonts w:ascii="Arial Narrow" w:hAnsi="Arial Narrow"/>
          <w:b/>
        </w:rPr>
      </w:pPr>
    </w:p>
    <w:p w14:paraId="3F95C3F8" w14:textId="77777777" w:rsidR="006F3A5C" w:rsidRDefault="006F3A5C">
      <w:pPr>
        <w:spacing w:line="259" w:lineRule="auto"/>
        <w:ind w:left="300" w:firstLine="0"/>
        <w:jc w:val="left"/>
        <w:rPr>
          <w:rFonts w:ascii="Arial Narrow" w:hAnsi="Arial Narrow"/>
          <w:b/>
        </w:rPr>
      </w:pPr>
    </w:p>
    <w:p w14:paraId="38B44D05" w14:textId="329CAC96" w:rsidR="00341AA6" w:rsidRPr="001053B0" w:rsidRDefault="00000000">
      <w:pPr>
        <w:spacing w:line="259" w:lineRule="auto"/>
        <w:ind w:left="300" w:firstLine="0"/>
        <w:jc w:val="left"/>
        <w:rPr>
          <w:rFonts w:ascii="Arial Narrow" w:hAnsi="Arial Narrow"/>
        </w:rPr>
      </w:pPr>
      <w:r w:rsidRPr="001053B0">
        <w:rPr>
          <w:rFonts w:ascii="Arial Narrow" w:hAnsi="Arial Narrow"/>
          <w:b/>
        </w:rPr>
        <w:t xml:space="preserve">Antrag </w:t>
      </w:r>
    </w:p>
    <w:p w14:paraId="77FB85FD" w14:textId="77777777" w:rsidR="00341AA6" w:rsidRPr="001053B0" w:rsidRDefault="00000000">
      <w:pPr>
        <w:spacing w:line="259" w:lineRule="auto"/>
        <w:ind w:left="300" w:firstLine="0"/>
        <w:jc w:val="left"/>
        <w:rPr>
          <w:rFonts w:ascii="Arial Narrow" w:hAnsi="Arial Narrow"/>
        </w:rPr>
      </w:pPr>
      <w:r w:rsidRPr="001053B0">
        <w:rPr>
          <w:rFonts w:ascii="Arial Narrow" w:hAnsi="Arial Narrow"/>
          <w:b/>
        </w:rPr>
        <w:t xml:space="preserve"> </w:t>
      </w:r>
    </w:p>
    <w:tbl>
      <w:tblPr>
        <w:tblStyle w:val="TableGrid"/>
        <w:tblW w:w="9784" w:type="dxa"/>
        <w:tblInd w:w="-283" w:type="dxa"/>
        <w:tblCellMar>
          <w:top w:w="53" w:type="dxa"/>
          <w:left w:w="106" w:type="dxa"/>
          <w:right w:w="56" w:type="dxa"/>
        </w:tblCellMar>
        <w:tblLook w:val="04A0" w:firstRow="1" w:lastRow="0" w:firstColumn="1" w:lastColumn="0" w:noHBand="0" w:noVBand="1"/>
      </w:tblPr>
      <w:tblGrid>
        <w:gridCol w:w="9784"/>
      </w:tblGrid>
      <w:tr w:rsidR="00341AA6" w:rsidRPr="001053B0" w14:paraId="2C7CD356" w14:textId="77777777">
        <w:trPr>
          <w:trHeight w:val="286"/>
        </w:trPr>
        <w:tc>
          <w:tcPr>
            <w:tcW w:w="9784" w:type="dxa"/>
            <w:tcBorders>
              <w:top w:val="single" w:sz="4" w:space="0" w:color="000000"/>
              <w:left w:val="single" w:sz="4" w:space="0" w:color="000000"/>
              <w:bottom w:val="single" w:sz="4" w:space="0" w:color="000000"/>
              <w:right w:val="single" w:sz="4" w:space="0" w:color="000000"/>
            </w:tcBorders>
          </w:tcPr>
          <w:p w14:paraId="3A1FCC56" w14:textId="1A753769" w:rsidR="00341AA6" w:rsidRDefault="00000000">
            <w:pPr>
              <w:spacing w:line="259" w:lineRule="auto"/>
              <w:ind w:left="0" w:firstLine="0"/>
              <w:jc w:val="left"/>
              <w:rPr>
                <w:rFonts w:ascii="Arial Narrow" w:hAnsi="Arial Narrow"/>
                <w:b/>
              </w:rPr>
            </w:pPr>
            <w:r w:rsidRPr="001053B0">
              <w:rPr>
                <w:rFonts w:ascii="Arial Narrow" w:hAnsi="Arial Narrow"/>
                <w:b/>
              </w:rPr>
              <w:t xml:space="preserve">Fraktion: </w:t>
            </w:r>
            <w:r w:rsidR="006F3A5C">
              <w:rPr>
                <w:rFonts w:ascii="Arial Narrow" w:hAnsi="Arial Narrow"/>
                <w:b/>
              </w:rPr>
              <w:t>Die Linke</w:t>
            </w:r>
            <w:r w:rsidR="0075799F">
              <w:rPr>
                <w:rFonts w:ascii="Arial Narrow" w:hAnsi="Arial Narrow"/>
                <w:b/>
              </w:rPr>
              <w:t>,</w:t>
            </w:r>
          </w:p>
          <w:p w14:paraId="07503E90" w14:textId="04AD0543" w:rsidR="006E789A" w:rsidRPr="001053B0" w:rsidRDefault="006E789A">
            <w:pPr>
              <w:spacing w:line="259" w:lineRule="auto"/>
              <w:ind w:left="0" w:firstLine="0"/>
              <w:jc w:val="left"/>
              <w:rPr>
                <w:rFonts w:ascii="Arial Narrow" w:hAnsi="Arial Narrow"/>
              </w:rPr>
            </w:pPr>
          </w:p>
        </w:tc>
      </w:tr>
      <w:tr w:rsidR="00341AA6" w:rsidRPr="001053B0" w14:paraId="43D0DE62" w14:textId="77777777">
        <w:trPr>
          <w:trHeight w:val="286"/>
        </w:trPr>
        <w:tc>
          <w:tcPr>
            <w:tcW w:w="9784" w:type="dxa"/>
            <w:tcBorders>
              <w:top w:val="single" w:sz="4" w:space="0" w:color="000000"/>
              <w:left w:val="single" w:sz="4" w:space="0" w:color="000000"/>
              <w:bottom w:val="single" w:sz="4" w:space="0" w:color="000000"/>
              <w:right w:val="single" w:sz="4" w:space="0" w:color="000000"/>
            </w:tcBorders>
          </w:tcPr>
          <w:p w14:paraId="4BC4467C" w14:textId="64AE4373" w:rsidR="00341AA6" w:rsidRPr="001053B0" w:rsidRDefault="00000000">
            <w:pPr>
              <w:spacing w:line="259" w:lineRule="auto"/>
              <w:ind w:left="0" w:firstLine="0"/>
              <w:jc w:val="left"/>
              <w:rPr>
                <w:rFonts w:ascii="Arial Narrow" w:hAnsi="Arial Narrow"/>
              </w:rPr>
            </w:pPr>
            <w:r w:rsidRPr="001053B0">
              <w:rPr>
                <w:rFonts w:ascii="Arial Narrow" w:hAnsi="Arial Narrow"/>
                <w:b/>
              </w:rPr>
              <w:t xml:space="preserve">Datum: </w:t>
            </w:r>
            <w:r w:rsidR="006F3A5C">
              <w:rPr>
                <w:rFonts w:ascii="Arial Narrow" w:hAnsi="Arial Narrow"/>
                <w:b/>
              </w:rPr>
              <w:t>05</w:t>
            </w:r>
            <w:r w:rsidR="001053B0" w:rsidRPr="001053B0">
              <w:rPr>
                <w:rFonts w:ascii="Arial Narrow" w:hAnsi="Arial Narrow"/>
                <w:b/>
              </w:rPr>
              <w:t xml:space="preserve">. </w:t>
            </w:r>
            <w:r w:rsidR="006F3A5C">
              <w:rPr>
                <w:rFonts w:ascii="Arial Narrow" w:hAnsi="Arial Narrow"/>
                <w:b/>
              </w:rPr>
              <w:t>Juni</w:t>
            </w:r>
            <w:r w:rsidR="001053B0" w:rsidRPr="001053B0">
              <w:rPr>
                <w:rFonts w:ascii="Arial Narrow" w:hAnsi="Arial Narrow"/>
                <w:b/>
              </w:rPr>
              <w:t xml:space="preserve"> 2026</w:t>
            </w:r>
          </w:p>
        </w:tc>
      </w:tr>
      <w:tr w:rsidR="00341AA6" w:rsidRPr="001053B0" w14:paraId="21C2D7EB" w14:textId="77777777" w:rsidTr="001053B0">
        <w:trPr>
          <w:trHeight w:val="319"/>
        </w:trPr>
        <w:tc>
          <w:tcPr>
            <w:tcW w:w="9784" w:type="dxa"/>
            <w:tcBorders>
              <w:top w:val="single" w:sz="4" w:space="0" w:color="000000"/>
              <w:left w:val="single" w:sz="4" w:space="0" w:color="000000"/>
              <w:bottom w:val="single" w:sz="4" w:space="0" w:color="000000"/>
              <w:right w:val="single" w:sz="4" w:space="0" w:color="000000"/>
            </w:tcBorders>
          </w:tcPr>
          <w:p w14:paraId="14F3F8D9" w14:textId="77777777" w:rsidR="006E789A" w:rsidRDefault="006E789A">
            <w:pPr>
              <w:spacing w:line="259" w:lineRule="auto"/>
              <w:ind w:left="0" w:firstLine="0"/>
              <w:rPr>
                <w:rFonts w:ascii="Arial Narrow" w:hAnsi="Arial Narrow"/>
                <w:b/>
              </w:rPr>
            </w:pPr>
          </w:p>
          <w:p w14:paraId="4CD75D36" w14:textId="77777777" w:rsidR="00341AA6" w:rsidRDefault="00D33323">
            <w:pPr>
              <w:spacing w:line="259" w:lineRule="auto"/>
              <w:ind w:left="0" w:firstLine="0"/>
              <w:rPr>
                <w:rFonts w:ascii="Arial Narrow" w:hAnsi="Arial Narrow"/>
                <w:b/>
              </w:rPr>
            </w:pPr>
            <w:r>
              <w:rPr>
                <w:rFonts w:ascii="Arial Narrow" w:hAnsi="Arial Narrow"/>
                <w:b/>
              </w:rPr>
              <w:t>Betr</w:t>
            </w:r>
            <w:r w:rsidR="00660313">
              <w:rPr>
                <w:rFonts w:ascii="Arial Narrow" w:hAnsi="Arial Narrow"/>
                <w:b/>
              </w:rPr>
              <w:t>e</w:t>
            </w:r>
            <w:r>
              <w:rPr>
                <w:rFonts w:ascii="Arial Narrow" w:hAnsi="Arial Narrow"/>
                <w:b/>
              </w:rPr>
              <w:t xml:space="preserve">ff: </w:t>
            </w:r>
            <w:r w:rsidRPr="00D33323">
              <w:rPr>
                <w:rFonts w:ascii="Arial Narrow" w:hAnsi="Arial Narrow"/>
                <w:b/>
              </w:rPr>
              <w:t>Blei- und Schadstoffbelastung im Trinkwasser der SWSG-Wohnblocks Rotweg 140 bis 152: Sofortige Trinkwasserversorgung der Mieter und lückenlose Aufklärung durch die SWSG</w:t>
            </w:r>
          </w:p>
          <w:p w14:paraId="3EF03F8D" w14:textId="70EED1CF" w:rsidR="006E789A" w:rsidRPr="001053B0" w:rsidRDefault="006E789A">
            <w:pPr>
              <w:spacing w:line="259" w:lineRule="auto"/>
              <w:ind w:left="0" w:firstLine="0"/>
              <w:rPr>
                <w:rFonts w:ascii="Arial Narrow" w:hAnsi="Arial Narrow"/>
              </w:rPr>
            </w:pPr>
          </w:p>
        </w:tc>
      </w:tr>
    </w:tbl>
    <w:p w14:paraId="4AE22817" w14:textId="77777777" w:rsidR="00341AA6" w:rsidRPr="001053B0" w:rsidRDefault="00000000">
      <w:pPr>
        <w:spacing w:line="259" w:lineRule="auto"/>
        <w:ind w:left="0" w:firstLine="0"/>
        <w:jc w:val="left"/>
        <w:rPr>
          <w:rFonts w:ascii="Arial Narrow" w:hAnsi="Arial Narrow"/>
        </w:rPr>
      </w:pPr>
      <w:r w:rsidRPr="001053B0">
        <w:rPr>
          <w:rFonts w:ascii="Arial Narrow" w:hAnsi="Arial Narrow"/>
        </w:rPr>
        <w:t xml:space="preserve"> </w:t>
      </w:r>
    </w:p>
    <w:p w14:paraId="545F3646" w14:textId="77777777" w:rsidR="00D33323" w:rsidRDefault="00D33323">
      <w:pPr>
        <w:spacing w:line="259" w:lineRule="auto"/>
        <w:ind w:left="0" w:firstLine="0"/>
        <w:jc w:val="left"/>
        <w:rPr>
          <w:rFonts w:ascii="Arial Narrow" w:hAnsi="Arial Narrow"/>
        </w:rPr>
      </w:pPr>
    </w:p>
    <w:p w14:paraId="68C4036C" w14:textId="67F358EF" w:rsidR="00D33323" w:rsidRPr="00D33323" w:rsidRDefault="00D33323" w:rsidP="00D33323">
      <w:pPr>
        <w:spacing w:line="259" w:lineRule="auto"/>
        <w:ind w:left="0" w:firstLine="0"/>
        <w:jc w:val="left"/>
        <w:rPr>
          <w:rFonts w:ascii="Arial Narrow" w:hAnsi="Arial Narrow"/>
        </w:rPr>
      </w:pPr>
      <w:r w:rsidRPr="00D33323">
        <w:rPr>
          <w:rFonts w:ascii="Arial Narrow" w:hAnsi="Arial Narrow"/>
        </w:rPr>
        <w:t>Der Bezirksbeirat Zuffenhausen möge beschließen:</w:t>
      </w:r>
    </w:p>
    <w:p w14:paraId="42C425D8" w14:textId="77777777" w:rsidR="00D33323" w:rsidRPr="00D33323" w:rsidRDefault="00D33323" w:rsidP="00D33323">
      <w:pPr>
        <w:spacing w:line="259" w:lineRule="auto"/>
        <w:ind w:left="0" w:firstLine="0"/>
        <w:jc w:val="left"/>
        <w:rPr>
          <w:rFonts w:ascii="Arial Narrow" w:hAnsi="Arial Narrow"/>
        </w:rPr>
      </w:pPr>
    </w:p>
    <w:p w14:paraId="79ECA09D" w14:textId="329F429B" w:rsidR="00D33323" w:rsidRPr="00D33323" w:rsidRDefault="00D33323" w:rsidP="00D33323">
      <w:pPr>
        <w:spacing w:line="259" w:lineRule="auto"/>
        <w:ind w:left="0" w:firstLine="0"/>
        <w:jc w:val="left"/>
        <w:rPr>
          <w:rFonts w:ascii="Arial Narrow" w:hAnsi="Arial Narrow"/>
        </w:rPr>
      </w:pPr>
      <w:r w:rsidRPr="00D33323">
        <w:rPr>
          <w:rFonts w:ascii="Arial Narrow" w:hAnsi="Arial Narrow"/>
        </w:rPr>
        <w:t>Die Stuttgarter Wohnungs- und Städtebaugesellschaft (SWSG) wird aufgefordert, den Mieterinnen und Mietern im Rotweg 140 bis 152 bis zu dem Zeitpunkt, an dem kein Blei mehr im Trinkwasser nachgewiesen wird und das behördliche Nutzungsverbot vollständig aufgehoben ist, regelmäßig und in ausreichendem Maße Trinkwasser auf eigene Kosten zu beschaffen und direkt an den Wohnungstüren abzuliefern.</w:t>
      </w:r>
    </w:p>
    <w:p w14:paraId="05DA9C60" w14:textId="77777777" w:rsidR="00D33323" w:rsidRPr="00D33323" w:rsidRDefault="00D33323" w:rsidP="00D33323">
      <w:pPr>
        <w:spacing w:line="259" w:lineRule="auto"/>
        <w:ind w:left="0" w:firstLine="0"/>
        <w:jc w:val="left"/>
        <w:rPr>
          <w:rFonts w:ascii="Arial Narrow" w:hAnsi="Arial Narrow"/>
        </w:rPr>
      </w:pPr>
    </w:p>
    <w:p w14:paraId="2EADD3BC" w14:textId="65D86662" w:rsidR="00D33323" w:rsidRPr="00D33323" w:rsidRDefault="00D33323" w:rsidP="00D33323">
      <w:pPr>
        <w:spacing w:line="259" w:lineRule="auto"/>
        <w:ind w:left="0" w:firstLine="0"/>
        <w:jc w:val="left"/>
        <w:rPr>
          <w:rFonts w:ascii="Arial Narrow" w:hAnsi="Arial Narrow"/>
        </w:rPr>
      </w:pPr>
      <w:r w:rsidRPr="00D33323">
        <w:rPr>
          <w:rFonts w:ascii="Arial Narrow" w:hAnsi="Arial Narrow"/>
        </w:rPr>
        <w:t>Berichterstattung und Fragenbeantwortung: Die SWSG wird aufgefordert, bei der nächsten Bezirksbeiratssitzung persönlich Bericht zu erstatten und folgende Fragen lückenlos und schriftlich zu beantworten:</w:t>
      </w:r>
    </w:p>
    <w:p w14:paraId="5DA0AA5D" w14:textId="77777777" w:rsidR="00D33323" w:rsidRPr="00D33323" w:rsidRDefault="00D33323" w:rsidP="00D33323">
      <w:pPr>
        <w:spacing w:line="259" w:lineRule="auto"/>
        <w:ind w:left="0" w:firstLine="0"/>
        <w:jc w:val="left"/>
        <w:rPr>
          <w:rFonts w:ascii="Arial Narrow" w:hAnsi="Arial Narrow"/>
        </w:rPr>
      </w:pPr>
    </w:p>
    <w:p w14:paraId="77B48E2B" w14:textId="2A4DC3D1" w:rsidR="00D33323" w:rsidRPr="00660313" w:rsidRDefault="00D33323" w:rsidP="00660313">
      <w:pPr>
        <w:pStyle w:val="Listenabsatz"/>
        <w:numPr>
          <w:ilvl w:val="0"/>
          <w:numId w:val="5"/>
        </w:numPr>
        <w:spacing w:line="259" w:lineRule="auto"/>
        <w:jc w:val="left"/>
        <w:rPr>
          <w:rFonts w:ascii="Arial Narrow" w:hAnsi="Arial Narrow"/>
        </w:rPr>
      </w:pPr>
      <w:r w:rsidRPr="00660313">
        <w:rPr>
          <w:rFonts w:ascii="Arial Narrow" w:hAnsi="Arial Narrow"/>
        </w:rPr>
        <w:t>Warum wurde die Überschreitung der Grenzwerte bei Blei erst im Jahr 2024 entdeckt?</w:t>
      </w:r>
    </w:p>
    <w:p w14:paraId="0F655DC9" w14:textId="1DDB6A9F" w:rsidR="00D33323" w:rsidRPr="00660313" w:rsidRDefault="00D33323" w:rsidP="00660313">
      <w:pPr>
        <w:pStyle w:val="Listenabsatz"/>
        <w:numPr>
          <w:ilvl w:val="0"/>
          <w:numId w:val="5"/>
        </w:numPr>
        <w:spacing w:line="259" w:lineRule="auto"/>
        <w:jc w:val="left"/>
        <w:rPr>
          <w:rFonts w:ascii="Arial Narrow" w:hAnsi="Arial Narrow"/>
        </w:rPr>
      </w:pPr>
      <w:r w:rsidRPr="00660313">
        <w:rPr>
          <w:rFonts w:ascii="Arial Narrow" w:hAnsi="Arial Narrow"/>
        </w:rPr>
        <w:t>Wann genau lag das Laborergebnis vor, und an welchem konkreten Datum wurden die Mieterinnen und Mieter darüber informiert?</w:t>
      </w:r>
    </w:p>
    <w:p w14:paraId="3ECB9C9F" w14:textId="77777777" w:rsidR="00D33323" w:rsidRPr="00D33323" w:rsidRDefault="00D33323" w:rsidP="00D33323">
      <w:pPr>
        <w:spacing w:line="259" w:lineRule="auto"/>
        <w:ind w:left="0" w:firstLine="0"/>
        <w:jc w:val="left"/>
        <w:rPr>
          <w:rFonts w:ascii="Arial Narrow" w:hAnsi="Arial Narrow"/>
        </w:rPr>
      </w:pPr>
    </w:p>
    <w:p w14:paraId="244446DF" w14:textId="3A801935" w:rsidR="00D33323" w:rsidRPr="00660313" w:rsidRDefault="00D33323" w:rsidP="00660313">
      <w:pPr>
        <w:pStyle w:val="Listenabsatz"/>
        <w:numPr>
          <w:ilvl w:val="0"/>
          <w:numId w:val="5"/>
        </w:numPr>
        <w:spacing w:line="259" w:lineRule="auto"/>
        <w:jc w:val="left"/>
        <w:rPr>
          <w:rFonts w:ascii="Arial Narrow" w:hAnsi="Arial Narrow"/>
        </w:rPr>
      </w:pPr>
      <w:r w:rsidRPr="00660313">
        <w:rPr>
          <w:rFonts w:ascii="Arial Narrow" w:hAnsi="Arial Narrow"/>
        </w:rPr>
        <w:t>Werden die gesetzlichen Grenzwerte bei Eisen in den betroffenen Gebäuden eingehalten?</w:t>
      </w:r>
    </w:p>
    <w:p w14:paraId="26A1FA56" w14:textId="77777777" w:rsidR="00D33323" w:rsidRDefault="00D33323" w:rsidP="00D33323">
      <w:pPr>
        <w:spacing w:line="259" w:lineRule="auto"/>
        <w:ind w:left="0" w:firstLine="0"/>
        <w:jc w:val="left"/>
        <w:rPr>
          <w:rFonts w:ascii="Arial Narrow" w:hAnsi="Arial Narrow"/>
        </w:rPr>
      </w:pPr>
    </w:p>
    <w:p w14:paraId="70C8301F" w14:textId="45FF1169" w:rsidR="00D33323" w:rsidRPr="00660313" w:rsidRDefault="00D33323" w:rsidP="00660313">
      <w:pPr>
        <w:pStyle w:val="Listenabsatz"/>
        <w:numPr>
          <w:ilvl w:val="0"/>
          <w:numId w:val="5"/>
        </w:numPr>
        <w:spacing w:line="259" w:lineRule="auto"/>
        <w:jc w:val="left"/>
        <w:rPr>
          <w:rFonts w:ascii="Arial Narrow" w:hAnsi="Arial Narrow"/>
        </w:rPr>
      </w:pPr>
      <w:r w:rsidRPr="00660313">
        <w:rPr>
          <w:rFonts w:ascii="Arial Narrow" w:hAnsi="Arial Narrow"/>
        </w:rPr>
        <w:t>Was war das exakte Ergebnis des Gutachtens, das die SWSG nach Feststellung der Grenzwertüberschreitung erstellen ließ? Das vollständige Gutachten ist dem Bezirksbeirat und den Mietern vorzulegen.</w:t>
      </w:r>
    </w:p>
    <w:p w14:paraId="4AEAF8EB" w14:textId="77777777" w:rsidR="00D33323" w:rsidRPr="00D33323" w:rsidRDefault="00D33323" w:rsidP="00D33323">
      <w:pPr>
        <w:spacing w:line="259" w:lineRule="auto"/>
        <w:ind w:left="0" w:firstLine="0"/>
        <w:jc w:val="left"/>
        <w:rPr>
          <w:rFonts w:ascii="Arial Narrow" w:hAnsi="Arial Narrow"/>
        </w:rPr>
      </w:pPr>
    </w:p>
    <w:p w14:paraId="335C1954" w14:textId="75C9A5CF" w:rsidR="00D33323" w:rsidRPr="00660313" w:rsidRDefault="00D33323" w:rsidP="00660313">
      <w:pPr>
        <w:pStyle w:val="Listenabsatz"/>
        <w:numPr>
          <w:ilvl w:val="0"/>
          <w:numId w:val="5"/>
        </w:numPr>
        <w:spacing w:line="259" w:lineRule="auto"/>
        <w:jc w:val="left"/>
        <w:rPr>
          <w:rFonts w:ascii="Arial Narrow" w:hAnsi="Arial Narrow"/>
        </w:rPr>
      </w:pPr>
      <w:r w:rsidRPr="00660313">
        <w:rPr>
          <w:rFonts w:ascii="Arial Narrow" w:hAnsi="Arial Narrow"/>
        </w:rPr>
        <w:t>Wurden im benachbarten Block Rotweg 154 ebenfalls Trinkwasseruntersuchungen durchgeführt, und was waren die genauen Ergebnisse?</w:t>
      </w:r>
    </w:p>
    <w:p w14:paraId="6F4469B4" w14:textId="77777777" w:rsidR="00D33323" w:rsidRPr="00D33323" w:rsidRDefault="00D33323" w:rsidP="00D33323">
      <w:pPr>
        <w:spacing w:line="259" w:lineRule="auto"/>
        <w:ind w:left="0" w:firstLine="0"/>
        <w:jc w:val="left"/>
        <w:rPr>
          <w:rFonts w:ascii="Arial Narrow" w:hAnsi="Arial Narrow"/>
        </w:rPr>
      </w:pPr>
    </w:p>
    <w:p w14:paraId="2E981574" w14:textId="0C6D748F" w:rsidR="00D33323" w:rsidRPr="00D33323" w:rsidRDefault="00D33323" w:rsidP="00D33323">
      <w:pPr>
        <w:spacing w:line="259" w:lineRule="auto"/>
        <w:ind w:left="0" w:firstLine="0"/>
        <w:jc w:val="left"/>
        <w:rPr>
          <w:rFonts w:ascii="Arial Narrow" w:hAnsi="Arial Narrow"/>
        </w:rPr>
      </w:pPr>
      <w:r w:rsidRPr="00D33323">
        <w:rPr>
          <w:rFonts w:ascii="Arial Narrow" w:hAnsi="Arial Narrow"/>
        </w:rPr>
        <w:t xml:space="preserve">  Die Trinkwasserverordnung verlangte in § 17 Abs. 1 den vollständigen Austausch aller bleihaltigen Wasserrohre bis zum 12. Januar 2026. Warum ist dies bis heute nicht vollständig erfolgt?</w:t>
      </w:r>
    </w:p>
    <w:p w14:paraId="1B7BCEBF" w14:textId="77777777" w:rsidR="00D33323" w:rsidRPr="00D33323" w:rsidRDefault="00D33323" w:rsidP="00D33323">
      <w:pPr>
        <w:spacing w:line="259" w:lineRule="auto"/>
        <w:ind w:left="0" w:firstLine="0"/>
        <w:jc w:val="left"/>
        <w:rPr>
          <w:rFonts w:ascii="Arial Narrow" w:hAnsi="Arial Narrow"/>
        </w:rPr>
      </w:pPr>
    </w:p>
    <w:p w14:paraId="77B7336D" w14:textId="1C8EDF95" w:rsidR="00D33323" w:rsidRPr="00D33323" w:rsidRDefault="00D33323" w:rsidP="00D33323">
      <w:pPr>
        <w:spacing w:line="259" w:lineRule="auto"/>
        <w:ind w:left="0" w:firstLine="0"/>
        <w:jc w:val="left"/>
        <w:rPr>
          <w:rFonts w:ascii="Arial Narrow" w:hAnsi="Arial Narrow"/>
        </w:rPr>
      </w:pPr>
      <w:r w:rsidRPr="00D33323">
        <w:rPr>
          <w:rFonts w:ascii="Arial Narrow" w:hAnsi="Arial Narrow"/>
        </w:rPr>
        <w:t xml:space="preserve"> Wann ergreift die SWSG welche konkreten weiteren Baumaßnahmen, um das Blei nachhaltig aus dem Trinkwasser zu entfernen, und wie sieht der verbindliche Zeitplan aus?</w:t>
      </w:r>
    </w:p>
    <w:p w14:paraId="4A3CC5B9" w14:textId="77777777" w:rsidR="00D33323" w:rsidRPr="00D33323" w:rsidRDefault="00D33323" w:rsidP="00D33323">
      <w:pPr>
        <w:spacing w:line="259" w:lineRule="auto"/>
        <w:ind w:left="0" w:firstLine="0"/>
        <w:jc w:val="left"/>
        <w:rPr>
          <w:rFonts w:ascii="Arial Narrow" w:hAnsi="Arial Narrow"/>
        </w:rPr>
      </w:pPr>
    </w:p>
    <w:p w14:paraId="76329A60" w14:textId="77777777" w:rsidR="00D33323" w:rsidRDefault="00D33323" w:rsidP="00D33323">
      <w:pPr>
        <w:spacing w:line="259" w:lineRule="auto"/>
        <w:ind w:left="0" w:firstLine="0"/>
        <w:jc w:val="left"/>
        <w:rPr>
          <w:rFonts w:ascii="Arial Narrow" w:hAnsi="Arial Narrow"/>
        </w:rPr>
      </w:pPr>
    </w:p>
    <w:p w14:paraId="14DC8989" w14:textId="77777777" w:rsidR="00D33323" w:rsidRDefault="00D33323" w:rsidP="00D33323">
      <w:pPr>
        <w:spacing w:line="259" w:lineRule="auto"/>
        <w:ind w:left="0" w:firstLine="0"/>
        <w:jc w:val="left"/>
        <w:rPr>
          <w:rFonts w:ascii="Arial Narrow" w:hAnsi="Arial Narrow"/>
        </w:rPr>
      </w:pPr>
    </w:p>
    <w:p w14:paraId="4E3FE22C" w14:textId="77777777" w:rsidR="00D33323" w:rsidRDefault="00D33323" w:rsidP="00D33323">
      <w:pPr>
        <w:spacing w:line="259" w:lineRule="auto"/>
        <w:ind w:left="0" w:firstLine="0"/>
        <w:jc w:val="left"/>
        <w:rPr>
          <w:rFonts w:ascii="Arial Narrow" w:hAnsi="Arial Narrow"/>
        </w:rPr>
      </w:pPr>
    </w:p>
    <w:p w14:paraId="24245BD2" w14:textId="77777777" w:rsidR="00660313" w:rsidRDefault="00660313" w:rsidP="00D33323">
      <w:pPr>
        <w:spacing w:line="259" w:lineRule="auto"/>
        <w:ind w:left="0" w:firstLine="0"/>
        <w:jc w:val="left"/>
        <w:rPr>
          <w:rFonts w:ascii="Arial Narrow" w:hAnsi="Arial Narrow"/>
        </w:rPr>
      </w:pPr>
    </w:p>
    <w:p w14:paraId="187A1E0E" w14:textId="6B950078" w:rsidR="00D33323" w:rsidRPr="00D33323" w:rsidRDefault="00D33323" w:rsidP="00D33323">
      <w:pPr>
        <w:spacing w:line="259" w:lineRule="auto"/>
        <w:ind w:left="0" w:firstLine="0"/>
        <w:jc w:val="left"/>
        <w:rPr>
          <w:rFonts w:ascii="Arial Narrow" w:hAnsi="Arial Narrow"/>
        </w:rPr>
      </w:pPr>
      <w:r w:rsidRPr="00D33323">
        <w:rPr>
          <w:rFonts w:ascii="Arial Narrow" w:hAnsi="Arial Narrow"/>
        </w:rPr>
        <w:t>Begründung:</w:t>
      </w:r>
    </w:p>
    <w:p w14:paraId="1FDFBC61" w14:textId="77777777" w:rsidR="00D33323" w:rsidRPr="00D33323" w:rsidRDefault="00D33323" w:rsidP="00D33323">
      <w:pPr>
        <w:spacing w:line="259" w:lineRule="auto"/>
        <w:ind w:left="0" w:firstLine="0"/>
        <w:jc w:val="left"/>
        <w:rPr>
          <w:rFonts w:ascii="Arial Narrow" w:hAnsi="Arial Narrow"/>
        </w:rPr>
      </w:pPr>
    </w:p>
    <w:p w14:paraId="654A9F0A" w14:textId="77777777" w:rsidR="00D33323" w:rsidRPr="00D33323" w:rsidRDefault="00D33323" w:rsidP="00D33323">
      <w:pPr>
        <w:spacing w:line="259" w:lineRule="auto"/>
        <w:ind w:left="0" w:firstLine="0"/>
        <w:jc w:val="left"/>
        <w:rPr>
          <w:rFonts w:ascii="Arial Narrow" w:hAnsi="Arial Narrow"/>
        </w:rPr>
      </w:pPr>
      <w:r w:rsidRPr="00D33323">
        <w:rPr>
          <w:rFonts w:ascii="Arial Narrow" w:hAnsi="Arial Narrow"/>
        </w:rPr>
        <w:t>Seit nunmehr über zwei Jahren (seit Frühjahr 2024) leben die Bewohnerinnen und Bewohner von mehr als 80 Wohnungen im Rotweg unter unhaltbaren und gesundheitsgefährdenden Bedingungen. Ihnen ist das Trinken, Kochen und Zähneputzen mit dem Leitungswasser untersagt. Besonders für Familien mit Kindern sowie ältere und gehbehinderte Menschen ist das tägliche Schleppen von Wasserkanistern eine enorme, unzumutbare Belastung.</w:t>
      </w:r>
    </w:p>
    <w:p w14:paraId="7AC43F9C" w14:textId="77777777" w:rsidR="00D33323" w:rsidRPr="00D33323" w:rsidRDefault="00D33323" w:rsidP="00D33323">
      <w:pPr>
        <w:spacing w:line="259" w:lineRule="auto"/>
        <w:ind w:left="0" w:firstLine="0"/>
        <w:jc w:val="left"/>
        <w:rPr>
          <w:rFonts w:ascii="Arial Narrow" w:hAnsi="Arial Narrow"/>
        </w:rPr>
      </w:pPr>
    </w:p>
    <w:p w14:paraId="55C942F9" w14:textId="77777777" w:rsidR="00D33323" w:rsidRPr="00D33323" w:rsidRDefault="00D33323" w:rsidP="00D33323">
      <w:pPr>
        <w:spacing w:line="259" w:lineRule="auto"/>
        <w:ind w:left="0" w:firstLine="0"/>
        <w:jc w:val="left"/>
        <w:rPr>
          <w:rFonts w:ascii="Arial Narrow" w:hAnsi="Arial Narrow"/>
        </w:rPr>
      </w:pPr>
      <w:r w:rsidRPr="00D33323">
        <w:rPr>
          <w:rFonts w:ascii="Arial Narrow" w:hAnsi="Arial Narrow"/>
        </w:rPr>
        <w:t>Die SWSG hat die anfänglichen Wasserlieferungen im Mai 2024 nach wenigen Tagen eingestellt und stattdessen die Miete pauschal gemindert. Eine Mietminderung löst jedoch nicht das fundamentale Problem der täglichen Existenzsicherung mit sauberem Wasser. Als städtische Tochtergesellschaft steht die SWSG in einer besonderen sozialen Verantwortung.</w:t>
      </w:r>
    </w:p>
    <w:p w14:paraId="251B3BAD" w14:textId="77777777" w:rsidR="00D33323" w:rsidRPr="00D33323" w:rsidRDefault="00D33323" w:rsidP="00D33323">
      <w:pPr>
        <w:spacing w:line="259" w:lineRule="auto"/>
        <w:ind w:left="0" w:firstLine="0"/>
        <w:jc w:val="left"/>
        <w:rPr>
          <w:rFonts w:ascii="Arial Narrow" w:hAnsi="Arial Narrow"/>
        </w:rPr>
      </w:pPr>
    </w:p>
    <w:p w14:paraId="20CD20EF" w14:textId="3BC0CF0A" w:rsidR="00D33323" w:rsidRDefault="00D33323" w:rsidP="00D33323">
      <w:pPr>
        <w:spacing w:line="259" w:lineRule="auto"/>
        <w:ind w:left="0" w:firstLine="0"/>
        <w:jc w:val="left"/>
        <w:rPr>
          <w:rFonts w:ascii="Arial Narrow" w:hAnsi="Arial Narrow"/>
        </w:rPr>
      </w:pPr>
      <w:r w:rsidRPr="00D33323">
        <w:rPr>
          <w:rFonts w:ascii="Arial Narrow" w:hAnsi="Arial Narrow"/>
        </w:rPr>
        <w:t xml:space="preserve">Zwar wurden im September 2025 Rohre im Keller ausgetauscht, doch die Messungen im Anschluss zeigten, dass der Bleigehalt im Wasser weiterhin zu hoch ist </w:t>
      </w:r>
      <w:r w:rsidR="000C1AA2">
        <w:rPr>
          <w:rFonts w:ascii="Arial Narrow" w:hAnsi="Arial Narrow"/>
        </w:rPr>
        <w:t>-</w:t>
      </w:r>
      <w:r w:rsidRPr="00D33323">
        <w:rPr>
          <w:rFonts w:ascii="Arial Narrow" w:hAnsi="Arial Narrow"/>
        </w:rPr>
        <w:t xml:space="preserve"> mutmaßlich, weil die Leitungen in den oberen Stockwerken nicht erneuert wurden. Damit wurde auch die gesetzliche Frist der Trinkwasserverordnung zur Beseitigung von Bleiquellen (Stichtag 12. Januar 2026) gerissen. Da weitere Sanierungsmaßnahmen laut Gesundheitsamt voraussichtlich bis Anfang 2027 andauern können, ist den Mietern nicht zuzumuten, ein weiteres Jahr ohne direkte Wasserversorgung an der Wohnungstür gelassen zu werden.</w:t>
      </w:r>
    </w:p>
    <w:p w14:paraId="3FAFC2E7" w14:textId="77777777" w:rsidR="00660313" w:rsidRDefault="00660313" w:rsidP="00D33323">
      <w:pPr>
        <w:spacing w:line="259" w:lineRule="auto"/>
        <w:ind w:left="0" w:firstLine="0"/>
        <w:jc w:val="left"/>
        <w:rPr>
          <w:rFonts w:ascii="Arial Narrow" w:hAnsi="Arial Narrow"/>
        </w:rPr>
      </w:pPr>
    </w:p>
    <w:p w14:paraId="05D02DBC" w14:textId="4FB373D5" w:rsidR="00660313" w:rsidRDefault="00660313" w:rsidP="00D33323">
      <w:pPr>
        <w:spacing w:line="259" w:lineRule="auto"/>
        <w:ind w:left="0" w:firstLine="0"/>
        <w:jc w:val="left"/>
        <w:rPr>
          <w:rFonts w:ascii="Arial Narrow" w:hAnsi="Arial Narrow"/>
        </w:rPr>
      </w:pPr>
      <w:r>
        <w:rPr>
          <w:rFonts w:ascii="Arial Narrow" w:hAnsi="Arial Narrow"/>
        </w:rPr>
        <w:t xml:space="preserve">Bericht vom SWR: </w:t>
      </w:r>
      <w:hyperlink r:id="rId5" w:history="1">
        <w:r w:rsidRPr="00811212">
          <w:rPr>
            <w:rStyle w:val="Hyperlink"/>
            <w:rFonts w:ascii="Arial Narrow" w:hAnsi="Arial Narrow"/>
          </w:rPr>
          <w:t>https://www.swr.de/swraktuell/baden-wuerttemberg/stuttgart/blei-wasserleitungen-kein-trinkwasser-mieter-swsg-100.html</w:t>
        </w:r>
      </w:hyperlink>
    </w:p>
    <w:p w14:paraId="0DFBD3FF" w14:textId="77777777" w:rsidR="00D33323" w:rsidRDefault="00D33323">
      <w:pPr>
        <w:spacing w:line="259" w:lineRule="auto"/>
        <w:ind w:left="0" w:firstLine="0"/>
        <w:jc w:val="left"/>
        <w:rPr>
          <w:rFonts w:ascii="Arial Narrow" w:hAnsi="Arial Narrow"/>
        </w:rPr>
      </w:pPr>
    </w:p>
    <w:p w14:paraId="49C0A08A" w14:textId="77777777" w:rsidR="000C1AA2" w:rsidRDefault="000C1AA2">
      <w:pPr>
        <w:spacing w:line="259" w:lineRule="auto"/>
        <w:ind w:left="0" w:firstLine="0"/>
        <w:jc w:val="left"/>
        <w:rPr>
          <w:rFonts w:ascii="Arial Narrow" w:hAnsi="Arial Narrow"/>
        </w:rPr>
      </w:pPr>
    </w:p>
    <w:p w14:paraId="6E187504" w14:textId="77777777" w:rsidR="000C1AA2" w:rsidRDefault="000C1AA2">
      <w:pPr>
        <w:spacing w:line="259" w:lineRule="auto"/>
        <w:ind w:left="0" w:firstLine="0"/>
        <w:jc w:val="left"/>
        <w:rPr>
          <w:rFonts w:ascii="Arial Narrow" w:hAnsi="Arial Narrow"/>
        </w:rPr>
      </w:pPr>
    </w:p>
    <w:p w14:paraId="7DF50B03" w14:textId="50E322F2" w:rsidR="00341AA6" w:rsidRDefault="00660313">
      <w:pPr>
        <w:spacing w:line="259" w:lineRule="auto"/>
        <w:ind w:left="0" w:right="9" w:firstLine="0"/>
        <w:jc w:val="center"/>
      </w:pPr>
      <w:r>
        <w:rPr>
          <w:sz w:val="20"/>
        </w:rPr>
        <w:t>A</w:t>
      </w:r>
      <w:r w:rsidR="00000000">
        <w:rPr>
          <w:sz w:val="20"/>
        </w:rPr>
        <w:t xml:space="preserve">nsprechpartner für Rückfragen: </w:t>
      </w:r>
      <w:r>
        <w:rPr>
          <w:sz w:val="20"/>
        </w:rPr>
        <w:t>Oliver Fleig</w:t>
      </w:r>
    </w:p>
    <w:sectPr w:rsidR="00341AA6">
      <w:pgSz w:w="11906" w:h="16838"/>
      <w:pgMar w:top="1123" w:right="1416" w:bottom="144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9480D"/>
    <w:multiLevelType w:val="hybridMultilevel"/>
    <w:tmpl w:val="66844134"/>
    <w:lvl w:ilvl="0" w:tplc="FC642868">
      <w:numFmt w:val="bullet"/>
      <w:lvlText w:val="-"/>
      <w:lvlJc w:val="left"/>
      <w:pPr>
        <w:ind w:left="720" w:hanging="360"/>
      </w:pPr>
      <w:rPr>
        <w:rFonts w:ascii="Arial Narrow" w:eastAsia="Arial"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012430"/>
    <w:multiLevelType w:val="hybridMultilevel"/>
    <w:tmpl w:val="F222ABD2"/>
    <w:lvl w:ilvl="0" w:tplc="9E42ED58">
      <w:numFmt w:val="bullet"/>
      <w:lvlText w:val="-"/>
      <w:lvlJc w:val="left"/>
      <w:pPr>
        <w:ind w:left="720" w:hanging="360"/>
      </w:pPr>
      <w:rPr>
        <w:rFonts w:ascii="Arial Narrow" w:eastAsia="Arial"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4D404E"/>
    <w:multiLevelType w:val="hybridMultilevel"/>
    <w:tmpl w:val="84624304"/>
    <w:lvl w:ilvl="0" w:tplc="CA84E35A">
      <w:numFmt w:val="bullet"/>
      <w:lvlText w:val="-"/>
      <w:lvlJc w:val="left"/>
      <w:pPr>
        <w:ind w:left="720" w:hanging="360"/>
      </w:pPr>
      <w:rPr>
        <w:rFonts w:ascii="Arial Narrow" w:eastAsia="Arial"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FE1B8C"/>
    <w:multiLevelType w:val="hybridMultilevel"/>
    <w:tmpl w:val="48CAE86A"/>
    <w:lvl w:ilvl="0" w:tplc="F3AC9002">
      <w:numFmt w:val="bullet"/>
      <w:lvlText w:val="-"/>
      <w:lvlJc w:val="left"/>
      <w:pPr>
        <w:ind w:left="420" w:hanging="360"/>
      </w:pPr>
      <w:rPr>
        <w:rFonts w:ascii="Arial Narrow" w:eastAsia="Arial" w:hAnsi="Arial Narrow"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4" w15:restartNumberingAfterBreak="0">
    <w:nsid w:val="5FA76315"/>
    <w:multiLevelType w:val="hybridMultilevel"/>
    <w:tmpl w:val="C74C2768"/>
    <w:lvl w:ilvl="0" w:tplc="FC642868">
      <w:numFmt w:val="bullet"/>
      <w:lvlText w:val="-"/>
      <w:lvlJc w:val="left"/>
      <w:pPr>
        <w:ind w:left="720" w:hanging="360"/>
      </w:pPr>
      <w:rPr>
        <w:rFonts w:ascii="Arial Narrow" w:eastAsia="Arial"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6520319">
    <w:abstractNumId w:val="2"/>
  </w:num>
  <w:num w:numId="2" w16cid:durableId="1987468056">
    <w:abstractNumId w:val="3"/>
  </w:num>
  <w:num w:numId="3" w16cid:durableId="51081905">
    <w:abstractNumId w:val="1"/>
  </w:num>
  <w:num w:numId="4" w16cid:durableId="2141535936">
    <w:abstractNumId w:val="0"/>
  </w:num>
  <w:num w:numId="5" w16cid:durableId="589042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A6"/>
    <w:rsid w:val="000C1AA2"/>
    <w:rsid w:val="001053B0"/>
    <w:rsid w:val="001A399E"/>
    <w:rsid w:val="00341AA6"/>
    <w:rsid w:val="004F7363"/>
    <w:rsid w:val="0058111B"/>
    <w:rsid w:val="00630E76"/>
    <w:rsid w:val="00660313"/>
    <w:rsid w:val="006E789A"/>
    <w:rsid w:val="006F3A5C"/>
    <w:rsid w:val="0075799F"/>
    <w:rsid w:val="00853708"/>
    <w:rsid w:val="00884F7F"/>
    <w:rsid w:val="00B966AC"/>
    <w:rsid w:val="00D333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B9D8"/>
  <w15:docId w15:val="{867E228E-BDE3-4137-B3C7-A2397328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9" w:lineRule="auto"/>
      <w:ind w:left="10" w:hanging="10"/>
      <w:jc w:val="both"/>
    </w:pPr>
    <w:rPr>
      <w:rFonts w:ascii="Arial" w:eastAsia="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D33323"/>
    <w:pPr>
      <w:ind w:left="720"/>
      <w:contextualSpacing/>
    </w:pPr>
  </w:style>
  <w:style w:type="character" w:styleId="Hyperlink">
    <w:name w:val="Hyperlink"/>
    <w:basedOn w:val="Absatz-Standardschriftart"/>
    <w:uiPriority w:val="99"/>
    <w:unhideWhenUsed/>
    <w:rsid w:val="00660313"/>
    <w:rPr>
      <w:color w:val="0563C1" w:themeColor="hyperlink"/>
      <w:u w:val="single"/>
    </w:rPr>
  </w:style>
  <w:style w:type="character" w:styleId="NichtaufgelsteErwhnung">
    <w:name w:val="Unresolved Mention"/>
    <w:basedOn w:val="Absatz-Standardschriftart"/>
    <w:uiPriority w:val="99"/>
    <w:semiHidden/>
    <w:unhideWhenUsed/>
    <w:rsid w:val="00660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wr.de/swraktuell/baden-wuerttemberg/stuttgart/blei-wasserleitungen-kein-trinkwasser-mieter-swsg-10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3130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ofleig@gmx.net</dc:creator>
  <cp:keywords/>
  <cp:lastModifiedBy>Oliver Fleig</cp:lastModifiedBy>
  <cp:revision>3</cp:revision>
  <dcterms:created xsi:type="dcterms:W3CDTF">2026-06-05T19:03:00Z</dcterms:created>
  <dcterms:modified xsi:type="dcterms:W3CDTF">2026-06-05T19:20:00Z</dcterms:modified>
</cp:coreProperties>
</file>